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2F56F909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2C6262">
        <w:rPr>
          <w:rFonts w:asciiTheme="minorHAnsi" w:hAnsiTheme="minorHAnsi"/>
          <w:b/>
          <w:sz w:val="28"/>
          <w:szCs w:val="28"/>
        </w:rPr>
        <w:t xml:space="preserve">– Biology 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9C4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9859C4" w:rsidRPr="00B52C9E" w:rsidRDefault="009859C4" w:rsidP="009859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9859C4" w:rsidRPr="00B52C9E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9859C4" w:rsidRPr="00CD278C" w:rsidRDefault="009859C4" w:rsidP="009859C4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9859C4" w:rsidRPr="00CD278C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9859C4" w:rsidRPr="00B52C9E" w:rsidRDefault="009859C4" w:rsidP="009859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9859C4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FBB7530" w14:textId="77777777" w:rsidR="009859C4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staff induction</w:t>
            </w:r>
          </w:p>
          <w:p w14:paraId="482C9448" w14:textId="77777777" w:rsidR="009859C4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E7632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Introduction to Biology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Biological drawing,</w:t>
            </w:r>
          </w:p>
          <w:p w14:paraId="71416A17" w14:textId="77777777" w:rsidR="009859C4" w:rsidRPr="00323293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draw large diagrams of biological specimens.</w:t>
            </w:r>
          </w:p>
          <w:p w14:paraId="711033C7" w14:textId="758FEFAF" w:rsidR="009859C4" w:rsidRPr="00B52C9E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</w:t>
            </w: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Magnification</w:t>
            </w:r>
          </w:p>
        </w:tc>
        <w:tc>
          <w:tcPr>
            <w:tcW w:w="2700" w:type="dxa"/>
          </w:tcPr>
          <w:p w14:paraId="7226D90E" w14:textId="77777777" w:rsidR="009859C4" w:rsidRDefault="009859C4" w:rsidP="009859C4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5761D257" w14:textId="77777777" w:rsidR="009859C4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5ECF45DF" w:rsidR="009859C4" w:rsidRPr="00523A5F" w:rsidRDefault="009859C4" w:rsidP="009859C4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9859C4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A9F03A0" w14:textId="77777777" w:rsidR="009859C4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>Cell structure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5AC7D2" w14:textId="77777777" w:rsidR="009859C4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343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93204">
              <w:rPr>
                <w:rFonts w:asciiTheme="minorHAnsi" w:hAnsiTheme="minorHAnsi" w:cstheme="minorHAnsi"/>
                <w:sz w:val="22"/>
                <w:szCs w:val="22"/>
              </w:rPr>
              <w:t>Describe and compare the structure of a plant cell with an animal cell, limited to cell wall, cell membrane, nucleus, cytoplasm, chloroplasts, ribosomes, mitochondria, vacuoles</w:t>
            </w:r>
          </w:p>
          <w:p w14:paraId="72B0B40E" w14:textId="77777777" w:rsidR="009859C4" w:rsidRPr="00323293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86515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 xml:space="preserve">Lab- Onion cells </w:t>
            </w:r>
          </w:p>
          <w:p w14:paraId="774ADB53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prepare temporary slide of onion peel and observe the visible organelle.</w:t>
            </w:r>
          </w:p>
          <w:p w14:paraId="0DCCF35F" w14:textId="77777777" w:rsidR="009859C4" w:rsidRPr="00323293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A12C80" w14:textId="77777777" w:rsidR="009859C4" w:rsidRPr="00323293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PTS: </w:t>
            </w: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Biomechanics: the interaction between skeleton and muscles, including the </w:t>
            </w:r>
          </w:p>
          <w:p w14:paraId="6434EBB0" w14:textId="77777777" w:rsidR="009859C4" w:rsidRPr="00323293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measurement of force exerted by different muscles</w:t>
            </w:r>
          </w:p>
          <w:p w14:paraId="5D4299D3" w14:textId="77777777" w:rsidR="009859C4" w:rsidRPr="00323293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• The structure and functions of the human skeleton, to include support, </w:t>
            </w:r>
          </w:p>
          <w:p w14:paraId="5F141A27" w14:textId="77777777" w:rsidR="009859C4" w:rsidRDefault="009859C4" w:rsidP="009859C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protection, movement and making blood cells</w:t>
            </w:r>
          </w:p>
          <w:p w14:paraId="468868D6" w14:textId="213C3697" w:rsidR="009859C4" w:rsidRPr="00B52C9E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F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Strand: ESF1.2 Impacts of Human Activities</w:t>
            </w:r>
          </w:p>
        </w:tc>
        <w:tc>
          <w:tcPr>
            <w:tcW w:w="2700" w:type="dxa"/>
          </w:tcPr>
          <w:p w14:paraId="76D4DB84" w14:textId="77777777" w:rsidR="009859C4" w:rsidRPr="00B52C9E" w:rsidRDefault="009859C4" w:rsidP="009859C4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9859C4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9859C4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EF63193" w14:textId="77777777" w:rsidR="009859C4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Cell specialization</w:t>
            </w:r>
          </w:p>
          <w:p w14:paraId="75D8C158" w14:textId="77777777" w:rsidR="009859C4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4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B709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State that </w:t>
            </w:r>
            <w:proofErr w:type="spellStart"/>
            <w:r w:rsidRPr="00B709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specialised</w:t>
            </w:r>
            <w:proofErr w:type="spellEnd"/>
            <w:r w:rsidRPr="00B709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cells have specific functions, limited to: (a) ciliated cells – movement of mucus in the trachea and bronchi (b) root hair cells – absorption (c) palisade mesophyll cells – photosynthesis (d) </w:t>
            </w:r>
            <w:proofErr w:type="spellStart"/>
            <w:r w:rsidRPr="00B709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neurones</w:t>
            </w:r>
            <w:proofErr w:type="spellEnd"/>
            <w:r w:rsidRPr="00B709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conduction of electrical impulses (e) red blood cells – transport of oxygen (f) sperm and egg cells (gametes) – reproduction</w:t>
            </w:r>
          </w:p>
          <w:p w14:paraId="177E515F" w14:textId="77777777" w:rsidR="009859C4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evel organization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Reinforcement </w:t>
            </w:r>
          </w:p>
          <w:p w14:paraId="64045B7D" w14:textId="77777777" w:rsidR="009859C4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71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6571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Describe the meaning of the terms: cell, tissue, organ, organ system and organism as illustrated by examples given in the syllabus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636AA2C" w14:textId="77777777" w:rsidR="009859C4" w:rsidRPr="00323293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2B12B4" w14:textId="77777777" w:rsidR="009859C4" w:rsidRPr="00323293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PTS</w:t>
            </w: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The hierarchical organization of multicellular organisms: from cells to tissues </w:t>
            </w:r>
          </w:p>
          <w:p w14:paraId="7179707C" w14:textId="77777777" w:rsidR="009859C4" w:rsidRPr="00323293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to organs to systems to organisms</w:t>
            </w:r>
          </w:p>
          <w:p w14:paraId="5ADD30DE" w14:textId="77777777" w:rsidR="009859C4" w:rsidRPr="00323293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The functions of the cell wall, cell membrane, cytoplasm, nucleus, vacuole, </w:t>
            </w:r>
          </w:p>
          <w:p w14:paraId="72A89D2C" w14:textId="77777777" w:rsidR="009859C4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mitochondria and chloroplasts.</w:t>
            </w:r>
          </w:p>
          <w:p w14:paraId="49A289BC" w14:textId="77777777" w:rsidR="009859C4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15DCA4" w14:textId="7B8AC8BC" w:rsidR="009859C4" w:rsidRPr="00B52C9E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on the topics </w:t>
            </w:r>
          </w:p>
        </w:tc>
        <w:tc>
          <w:tcPr>
            <w:tcW w:w="2700" w:type="dxa"/>
          </w:tcPr>
          <w:p w14:paraId="52BBFA9C" w14:textId="7D0E0A32" w:rsidR="009859C4" w:rsidRPr="00B52C9E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859C4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21823633" w14:textId="77777777" w:rsidR="009859C4" w:rsidRDefault="009859C4" w:rsidP="009859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72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Characteristics of organisms &amp;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Classification </w:t>
            </w:r>
          </w:p>
          <w:p w14:paraId="1B65FDB9" w14:textId="77777777" w:rsidR="009859C4" w:rsidRDefault="009859C4" w:rsidP="009859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4B57">
              <w:rPr>
                <w:rFonts w:asciiTheme="minorHAnsi" w:hAnsiTheme="minorHAnsi" w:cstheme="minorHAnsi"/>
                <w:b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E8372E">
              <w:rPr>
                <w:rFonts w:asciiTheme="minorHAnsi" w:hAnsiTheme="minorHAnsi" w:cstheme="minorHAnsi"/>
                <w:bCs/>
                <w:sz w:val="22"/>
                <w:szCs w:val="22"/>
              </w:rPr>
              <w:t>Describe the characteristics of living organisms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2C368B7" w14:textId="77777777" w:rsidR="009859C4" w:rsidRDefault="009859C4" w:rsidP="009859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50C4">
              <w:rPr>
                <w:rFonts w:asciiTheme="minorHAnsi" w:hAnsiTheme="minorHAnsi" w:cstheme="minorHAnsi"/>
                <w:bCs/>
                <w:sz w:val="22"/>
                <w:szCs w:val="22"/>
              </w:rPr>
              <w:t>Explain that classification systems aim to reflect evolutionary relationships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D950B67" w14:textId="77777777" w:rsidR="009859C4" w:rsidRDefault="009859C4" w:rsidP="009859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32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Describe a species as a group of organisms that can reproduce to produce fertile offspring 3 Describe the binomial system of naming species as an internationally agreed system in which the scientific name of an organism is made up of two parts showing the </w:t>
            </w:r>
            <w:proofErr w:type="gramStart"/>
            <w:r w:rsidRPr="00FD32BE">
              <w:rPr>
                <w:rFonts w:asciiTheme="minorHAnsi" w:hAnsiTheme="minorHAnsi" w:cstheme="minorHAnsi"/>
                <w:bCs/>
                <w:sz w:val="22"/>
                <w:szCs w:val="22"/>
              </w:rPr>
              <w:t>genus</w:t>
            </w:r>
            <w:proofErr w:type="gramEnd"/>
            <w:r w:rsidRPr="00FD32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species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29E31682" w14:textId="77777777" w:rsidR="009859C4" w:rsidRDefault="009859C4" w:rsidP="009859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Lab: </w:t>
            </w:r>
            <w:r w:rsidRPr="00C247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Classification of living organisms </w:t>
            </w:r>
          </w:p>
          <w:p w14:paraId="16A9C043" w14:textId="07E33386" w:rsidR="009859C4" w:rsidRPr="00B52C9E" w:rsidRDefault="009859C4" w:rsidP="009859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9859C4" w:rsidRPr="00B52C9E" w:rsidRDefault="009859C4" w:rsidP="009859C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859C4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4BC0B8C3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E20">
              <w:rPr>
                <w:rFonts w:asciiTheme="minorHAnsi" w:hAnsiTheme="minorHAnsi" w:cstheme="minorHAnsi"/>
                <w:sz w:val="22"/>
                <w:szCs w:val="22"/>
              </w:rPr>
              <w:t>Kingdom Prokaryotes, Protista &amp; Fungu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3B7CE343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019EA">
              <w:rPr>
                <w:rFonts w:asciiTheme="minorHAnsi" w:hAnsiTheme="minorHAnsi" w:cstheme="minorHAnsi"/>
                <w:sz w:val="22"/>
                <w:szCs w:val="22"/>
              </w:rPr>
              <w:t>State the main features used to place all organisms into one of the five kingdoms: animal, plant, fungus, prokaryote, Protoctista</w:t>
            </w:r>
          </w:p>
          <w:p w14:paraId="412753B0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Lab; </w:t>
            </w:r>
            <w:r w:rsidRPr="008840D2">
              <w:rPr>
                <w:rFonts w:asciiTheme="minorHAnsi" w:hAnsiTheme="minorHAnsi" w:cstheme="minorHAnsi"/>
                <w:sz w:val="22"/>
                <w:szCs w:val="22"/>
              </w:rPr>
              <w:t>Classification of living organisms (vertebrates and vertebrates)</w:t>
            </w:r>
          </w:p>
          <w:p w14:paraId="6C3F01CF" w14:textId="1CC25251" w:rsidR="009859C4" w:rsidRPr="00B52C9E" w:rsidRDefault="009859C4" w:rsidP="009859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E3C">
              <w:rPr>
                <w:rFonts w:asciiTheme="minorHAnsi" w:hAnsiTheme="minorHAnsi" w:cstheme="minorHAnsi"/>
                <w:b/>
                <w:bCs/>
                <w:color w:val="000000"/>
              </w:rPr>
              <w:t>PTS: The importance of bacteria in the human digestive system</w:t>
            </w:r>
          </w:p>
        </w:tc>
        <w:tc>
          <w:tcPr>
            <w:tcW w:w="2700" w:type="dxa"/>
          </w:tcPr>
          <w:p w14:paraId="50B855ED" w14:textId="77777777" w:rsidR="009859C4" w:rsidRPr="00CD278C" w:rsidRDefault="009859C4" w:rsidP="009859C4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4AC53DBD" w14:textId="77777777" w:rsidR="009859C4" w:rsidRPr="00D5221D" w:rsidRDefault="009859C4" w:rsidP="009859C4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859C4" w:rsidRPr="00B52C9E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9859C4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9859C4" w:rsidRPr="00D72866" w:rsidRDefault="009859C4" w:rsidP="009859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9859C4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9859C4" w:rsidRPr="00CD278C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9859C4" w:rsidRPr="00CD278C" w:rsidRDefault="009859C4" w:rsidP="009859C4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9859C4" w:rsidRPr="00B52C9E" w:rsidRDefault="009859C4" w:rsidP="009859C4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9859C4" w:rsidRPr="00CD406C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1888FCD1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Kingdom Animalia (Vertebrates)</w:t>
            </w:r>
          </w:p>
          <w:p w14:paraId="2C9AD4C4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E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51EA2">
              <w:rPr>
                <w:rFonts w:asciiTheme="minorHAnsi" w:hAnsiTheme="minorHAnsi" w:cstheme="minorHAnsi"/>
                <w:sz w:val="22"/>
                <w:szCs w:val="22"/>
              </w:rPr>
              <w:t>State the main features used to place organisms into groups within the animal kingdom, limited to: (a) the main groups of vertebrates: mammals, birds, reptiles, amphibians, fish</w:t>
            </w:r>
          </w:p>
          <w:p w14:paraId="490C6828" w14:textId="590AD90E" w:rsidR="009859C4" w:rsidRPr="00B52C9E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Lab </w:t>
            </w:r>
          </w:p>
        </w:tc>
        <w:tc>
          <w:tcPr>
            <w:tcW w:w="2700" w:type="dxa"/>
          </w:tcPr>
          <w:p w14:paraId="0BDE50EF" w14:textId="77777777" w:rsidR="009859C4" w:rsidRDefault="009859C4" w:rsidP="009859C4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6AD3890F" w14:textId="77777777" w:rsidR="009859C4" w:rsidRPr="009C147A" w:rsidRDefault="009859C4" w:rsidP="009859C4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9859C4" w:rsidRPr="00B52C9E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9859C4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9859C4" w:rsidRPr="00B52C9E" w:rsidRDefault="009859C4" w:rsidP="009859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9859C4" w:rsidRPr="00B52C9E" w:rsidRDefault="009859C4" w:rsidP="009859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4737CAA9" w14:textId="5A5A8A2C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Invertebrates (Arthropods)</w:t>
            </w:r>
          </w:p>
          <w:p w14:paraId="42669E5F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F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BD10D2">
              <w:t xml:space="preserve"> </w:t>
            </w:r>
            <w:r w:rsidRPr="00BD10D2">
              <w:rPr>
                <w:rFonts w:asciiTheme="minorHAnsi" w:hAnsiTheme="minorHAnsi" w:cstheme="minorHAnsi"/>
                <w:sz w:val="22"/>
                <w:szCs w:val="22"/>
              </w:rPr>
              <w:t>the main groups of arthropods: myriapods, insects, arachnids, crustaceans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04639D" w14:textId="19FD3FF1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</w:t>
            </w:r>
          </w:p>
          <w:p w14:paraId="75D66858" w14:textId="77777777" w:rsidR="009859C4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1ED00" w14:textId="3AC030CE" w:rsidR="009859C4" w:rsidRPr="00B52C9E" w:rsidRDefault="009859C4" w:rsidP="00985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6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PTS Key features of scientific enquiry- Observing, identifying, classifying and grouping</w:t>
            </w:r>
            <w:r w:rsidRPr="00B52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503DF30B" w14:textId="77777777" w:rsidR="009859C4" w:rsidRPr="00CD278C" w:rsidRDefault="009859C4" w:rsidP="009859C4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73A1CABB" w14:textId="77777777" w:rsidR="009859C4" w:rsidRPr="00B31675" w:rsidRDefault="009859C4" w:rsidP="009859C4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20EB4AB1" w14:textId="77777777" w:rsidR="009859C4" w:rsidRPr="00DA3B0F" w:rsidRDefault="009859C4" w:rsidP="009859C4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9859C4" w:rsidRPr="00B52C9E" w:rsidRDefault="009859C4" w:rsidP="009859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4A2631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4A2631" w:rsidRPr="00B52C9E" w:rsidRDefault="004A2631" w:rsidP="004A26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4A2631" w:rsidRPr="00B52C9E" w:rsidRDefault="004A2631" w:rsidP="004A26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68B44C02" w14:textId="711A15B6" w:rsidR="004A2631" w:rsidRPr="00F318D9" w:rsidRDefault="004A2631" w:rsidP="004A263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D1747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6D1747" w:rsidRPr="00B52C9E" w:rsidRDefault="006D1747" w:rsidP="006D1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6D1747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6D1747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0306020" w14:textId="77777777" w:rsidR="006D1747" w:rsidRDefault="006D1747" w:rsidP="006D1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Plant Kingdom and Virus </w:t>
            </w:r>
          </w:p>
          <w:p w14:paraId="1AE478BB" w14:textId="77777777" w:rsidR="006D1747" w:rsidRDefault="006D1747" w:rsidP="006D1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49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A4924">
              <w:rPr>
                <w:rFonts w:asciiTheme="minorHAnsi" w:hAnsiTheme="minorHAnsi" w:cstheme="minorHAnsi"/>
                <w:sz w:val="22"/>
                <w:szCs w:val="22"/>
              </w:rPr>
              <w:t>State the main features used to place organisms into groups within the plant kingdom, limited to ferns and flowering plants (dicotyledons and monocotyledons</w:t>
            </w:r>
          </w:p>
          <w:p w14:paraId="01913905" w14:textId="4F1E329F" w:rsidR="006D1747" w:rsidRDefault="006D1747" w:rsidP="006D1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</w:t>
            </w:r>
          </w:p>
          <w:p w14:paraId="7AC4DA17" w14:textId="7C85BBDB" w:rsidR="006D1747" w:rsidRPr="00B52C9E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81F04C5" w14:textId="77777777" w:rsidR="006D1747" w:rsidRPr="00CD278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4906B98E" w14:textId="77777777" w:rsidR="006D1747" w:rsidRPr="00CD278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6D1747" w:rsidRPr="00CD278C" w:rsidRDefault="006D1747" w:rsidP="006D1747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6D1747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6D1747" w:rsidRPr="00B52C9E" w:rsidRDefault="006D1747" w:rsidP="006D1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6D1747" w:rsidRPr="00B52C9E" w:rsidRDefault="006D1747" w:rsidP="006D1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184BA22" w14:textId="77777777" w:rsidR="006D1747" w:rsidRDefault="006D1747" w:rsidP="006D1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Dichotomous keys: </w:t>
            </w:r>
          </w:p>
          <w:p w14:paraId="4BE56612" w14:textId="77777777" w:rsidR="006D1747" w:rsidRDefault="006D1747" w:rsidP="006D1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563EAA">
              <w:rPr>
                <w:rFonts w:asciiTheme="minorHAnsi" w:hAnsiTheme="minorHAnsi" w:cstheme="minorHAnsi"/>
                <w:sz w:val="22"/>
                <w:szCs w:val="22"/>
              </w:rPr>
              <w:t>Construct and use dichotomous keys based on identifiable features</w:t>
            </w:r>
          </w:p>
          <w:p w14:paraId="211D1C9C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topics</w:t>
            </w:r>
          </w:p>
          <w:p w14:paraId="1134988A" w14:textId="0771A08D" w:rsidR="006D1747" w:rsidRPr="00B52C9E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Lab </w:t>
            </w:r>
          </w:p>
        </w:tc>
        <w:tc>
          <w:tcPr>
            <w:tcW w:w="2700" w:type="dxa"/>
          </w:tcPr>
          <w:p w14:paraId="22095B13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6D1747" w:rsidRPr="00B52C9E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D1747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2B15BBF5" w14:textId="77777777" w:rsidR="006D1747" w:rsidRDefault="006D1747" w:rsidP="006D17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Diffusion</w:t>
            </w:r>
          </w:p>
          <w:p w14:paraId="7BD87CC4" w14:textId="77777777" w:rsidR="006D1747" w:rsidRPr="00323293" w:rsidRDefault="006D1747" w:rsidP="006D17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0F5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B50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Describe diffusion as the net movement of particles from a region of their higher concentration to a region of their lower concentration (i.e. down a concentration gradient), because of their random movement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</w:p>
          <w:p w14:paraId="3B377872" w14:textId="77777777" w:rsidR="006D1747" w:rsidRDefault="006D1747" w:rsidP="006D17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Lab – Osmosis – 1</w:t>
            </w:r>
          </w:p>
          <w:p w14:paraId="5A147006" w14:textId="77777777" w:rsidR="006D1747" w:rsidRPr="00323293" w:rsidRDefault="006D1747" w:rsidP="006D17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investigate osmosis using raisins.</w:t>
            </w:r>
          </w:p>
          <w:p w14:paraId="5D1A8260" w14:textId="77777777" w:rsidR="006D1747" w:rsidRPr="0032329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PTS: </w:t>
            </w: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 xml:space="preserve">Make and record observations and measurements using a range of methods </w:t>
            </w:r>
          </w:p>
          <w:p w14:paraId="5D0881CD" w14:textId="77777777" w:rsidR="006D1747" w:rsidRPr="0032329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 xml:space="preserve">for different investigations, and evaluate the reliability of methods and </w:t>
            </w:r>
          </w:p>
          <w:p w14:paraId="1AE4C802" w14:textId="2A688904" w:rsidR="006D1747" w:rsidRPr="00B52C9E" w:rsidRDefault="006D1747" w:rsidP="006D174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>suggest possible improvements.</w:t>
            </w:r>
          </w:p>
        </w:tc>
        <w:tc>
          <w:tcPr>
            <w:tcW w:w="2700" w:type="dxa"/>
          </w:tcPr>
          <w:p w14:paraId="5BF79D40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455886AD" w:rsidR="006D1747" w:rsidRPr="00BA382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6D1747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075D1561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>Osmosis</w:t>
            </w:r>
          </w:p>
          <w:p w14:paraId="1909E330" w14:textId="77777777" w:rsidR="006D1747" w:rsidRPr="0032329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0E22">
              <w:rPr>
                <w:rFonts w:asciiTheme="minorHAnsi" w:hAnsiTheme="minorHAnsi" w:cstheme="minorHAnsi"/>
                <w:b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C20E22">
              <w:rPr>
                <w:rFonts w:asciiTheme="minorHAnsi" w:hAnsiTheme="minorHAnsi" w:cstheme="minorHAnsi"/>
                <w:bCs/>
                <w:sz w:val="22"/>
                <w:szCs w:val="22"/>
              </w:rPr>
              <w:t>Describe the role of water as a solvent in organisms with reference to digestion, excretion and transport 2 State that water diffuses through partially permeable membranes by osmosis 3 State that water moves into and out of cells by osmosis through the cell membrane</w:t>
            </w:r>
          </w:p>
          <w:p w14:paraId="2B5D5DB7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>Lab – Osmosis – 2</w:t>
            </w:r>
          </w:p>
          <w:p w14:paraId="37E0EE94" w14:textId="77777777" w:rsidR="006D1747" w:rsidRPr="0032329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 investigate osmosis using potato.</w:t>
            </w:r>
          </w:p>
          <w:p w14:paraId="4B2D66FA" w14:textId="77777777" w:rsidR="006D1747" w:rsidRPr="00323293" w:rsidRDefault="006D1747" w:rsidP="006D174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PTS: </w:t>
            </w: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Interpret observations and data, including identifying patterns and using </w:t>
            </w:r>
          </w:p>
          <w:p w14:paraId="75B36A99" w14:textId="27D45C0A" w:rsidR="006D1747" w:rsidRPr="00B52C9E" w:rsidRDefault="006D1747" w:rsidP="006D174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>observations, measurements and data to draw conclusion</w:t>
            </w:r>
          </w:p>
        </w:tc>
        <w:tc>
          <w:tcPr>
            <w:tcW w:w="2700" w:type="dxa"/>
          </w:tcPr>
          <w:p w14:paraId="7033804C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6D1747" w:rsidRPr="00796F4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6D1747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6D1747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78F067B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>Active Transport</w:t>
            </w:r>
          </w:p>
          <w:p w14:paraId="24F88F7A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A04">
              <w:rPr>
                <w:rFonts w:asciiTheme="minorHAnsi" w:hAnsiTheme="minorHAnsi" w:cstheme="minorHAnsi"/>
                <w:b/>
                <w:sz w:val="22"/>
                <w:szCs w:val="22"/>
              </w:rPr>
              <w:t>Objective:</w:t>
            </w:r>
          </w:p>
          <w:p w14:paraId="6EA4F949" w14:textId="77777777" w:rsidR="006D1747" w:rsidRPr="00580E65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0E65">
              <w:rPr>
                <w:rFonts w:asciiTheme="minorHAnsi" w:hAnsiTheme="minorHAnsi" w:cstheme="minorHAnsi"/>
                <w:bCs/>
                <w:sz w:val="22"/>
                <w:szCs w:val="22"/>
              </w:rPr>
              <w:t>Describe active transport as the movement of particles through a cell membrane from a region of lower concentration to a region of higher concentration (i.e. against a concentration gradient), using energy from respiration</w:t>
            </w:r>
          </w:p>
          <w:p w14:paraId="49FC47AD" w14:textId="77777777" w:rsidR="006D1747" w:rsidRPr="00580E65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0E65">
              <w:rPr>
                <w:rFonts w:asciiTheme="minorHAnsi" w:hAnsiTheme="minorHAnsi" w:cstheme="minorHAnsi"/>
                <w:bCs/>
                <w:sz w:val="22"/>
                <w:szCs w:val="22"/>
              </w:rPr>
              <w:t>Explain the importance of active transport as a process for movement of molecules or ions across membranes, including ion uptake by root hairs 3 State that protein carriers move molecules or ions across a membrane during active transport</w:t>
            </w:r>
          </w:p>
          <w:p w14:paraId="6E568FE3" w14:textId="77777777" w:rsidR="006D1747" w:rsidRPr="0032329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Lab – Plasmolysis </w:t>
            </w:r>
          </w:p>
          <w:p w14:paraId="09DAE1B8" w14:textId="7777777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investigate plasmolysis using onion cells </w:t>
            </w:r>
          </w:p>
          <w:p w14:paraId="4D5DF08A" w14:textId="4F4DC288" w:rsidR="006D1747" w:rsidRPr="00B52C9E" w:rsidRDefault="006D1747" w:rsidP="006D17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 the topics</w:t>
            </w:r>
          </w:p>
        </w:tc>
        <w:tc>
          <w:tcPr>
            <w:tcW w:w="2700" w:type="dxa"/>
          </w:tcPr>
          <w:p w14:paraId="02CDE191" w14:textId="77777777" w:rsidR="006D1747" w:rsidRPr="00CD278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2F533831" w14:textId="77777777" w:rsidR="006D1747" w:rsidRPr="00CD278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6D1747" w:rsidRPr="00B52C9E" w:rsidRDefault="006D1747" w:rsidP="006D174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D1747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6D1747" w:rsidRPr="00B52C9E" w:rsidRDefault="006D1747" w:rsidP="006D1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6D1747" w:rsidRPr="00B52C9E" w:rsidRDefault="006D1747" w:rsidP="006D1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6D1747" w:rsidRPr="00B52C9E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10AC" w14:textId="2225F6A1" w:rsidR="006D1747" w:rsidRPr="00B52C9E" w:rsidRDefault="006D1747" w:rsidP="006D17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 the topics</w:t>
            </w:r>
          </w:p>
        </w:tc>
        <w:tc>
          <w:tcPr>
            <w:tcW w:w="2700" w:type="dxa"/>
          </w:tcPr>
          <w:p w14:paraId="2B04BC41" w14:textId="74016EAC" w:rsidR="006D1747" w:rsidRPr="001452E5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D1747" w:rsidRPr="00B52C9E" w:rsidRDefault="006D1747" w:rsidP="006D1747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D1747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6D1747" w:rsidRPr="00B52C9E" w:rsidRDefault="006D1747" w:rsidP="006D1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6D1747" w:rsidRDefault="006D1747" w:rsidP="006D1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9925E82" w14:textId="4FBEDD39" w:rsidR="006D1747" w:rsidRPr="00B52C9E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 the topics</w:t>
            </w:r>
          </w:p>
        </w:tc>
        <w:tc>
          <w:tcPr>
            <w:tcW w:w="2700" w:type="dxa"/>
          </w:tcPr>
          <w:p w14:paraId="17B58D34" w14:textId="64F2A8F7" w:rsidR="006D1747" w:rsidRPr="00CD278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6D1747" w:rsidRPr="00CD278C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6D1747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6D1747" w:rsidRPr="009B40B3" w:rsidRDefault="006D1747" w:rsidP="006D174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6D1747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6D1747" w:rsidRPr="00B52C9E" w:rsidRDefault="006D1747" w:rsidP="006D17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6D1747" w:rsidRPr="00B52C9E" w:rsidRDefault="006D1747" w:rsidP="006D1747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76BED7E" w14:textId="77777777" w:rsidR="005A1501" w:rsidRDefault="005A1501" w:rsidP="005A15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 xml:space="preserve">Carbohydrates </w:t>
            </w:r>
          </w:p>
          <w:p w14:paraId="3282EF10" w14:textId="77777777" w:rsidR="005A1501" w:rsidRPr="00323293" w:rsidRDefault="005A1501" w:rsidP="005A15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D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545D43">
              <w:rPr>
                <w:rFonts w:asciiTheme="minorHAnsi" w:hAnsiTheme="minorHAnsi" w:cstheme="minorHAnsi"/>
                <w:sz w:val="22"/>
                <w:szCs w:val="22"/>
              </w:rPr>
              <w:t>List the chemical elements that make up: carbohydrates, fats and proteins 2 State that large molecules are made from smaller molecules, limited to: (a) starch, glycogen and cellulose from glucose (b) proteins from amino acids (c) fats and oils from fatty acids and glycerol 3 Describe the use of: (a) iodine solution test for starch (b) Benedict’s solution test for reducing sugars (c) biuret test for proteins (d) ethanol emulsion test for fats and oils</w:t>
            </w:r>
          </w:p>
          <w:p w14:paraId="0380F031" w14:textId="641A0F0E" w:rsidR="005720ED" w:rsidRPr="00B52C9E" w:rsidRDefault="005A1501" w:rsidP="005A1501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sz w:val="22"/>
                <w:szCs w:val="22"/>
              </w:rPr>
              <w:t xml:space="preserve">Lab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DCPIP test for Vitamin C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76D88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76D88" w:rsidRPr="00B52C9E" w:rsidRDefault="00E76D88" w:rsidP="00E76D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76D88" w:rsidRPr="0078026B" w:rsidRDefault="00E76D88" w:rsidP="00E76D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474A2230" w14:textId="77777777" w:rsidR="00E76D88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Proteins </w:t>
            </w:r>
          </w:p>
          <w:p w14:paraId="020E77F0" w14:textId="77777777" w:rsidR="00E76D88" w:rsidRPr="00323293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gramStart"/>
            <w:r w:rsidRPr="00545D43">
              <w:rPr>
                <w:rFonts w:asciiTheme="minorHAnsi" w:hAnsiTheme="minorHAnsi" w:cstheme="minorHAnsi"/>
                <w:sz w:val="22"/>
                <w:szCs w:val="22"/>
              </w:rPr>
              <w:t>List</w:t>
            </w:r>
            <w:proofErr w:type="gramEnd"/>
            <w:r w:rsidRPr="00545D43">
              <w:rPr>
                <w:rFonts w:asciiTheme="minorHAnsi" w:hAnsiTheme="minorHAnsi" w:cstheme="minorHAnsi"/>
                <w:sz w:val="22"/>
                <w:szCs w:val="22"/>
              </w:rPr>
              <w:t xml:space="preserve"> the chemical elements that make 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Protein </w:t>
            </w:r>
          </w:p>
          <w:p w14:paraId="001BE644" w14:textId="77777777" w:rsidR="00E76D88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Lab – </w:t>
            </w: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Biuret test</w:t>
            </w: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3AE5DA4B" w14:textId="495D7B66" w:rsidR="00E76D88" w:rsidRPr="0078026B" w:rsidRDefault="00E76D88" w:rsidP="00E76D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test the given sample for the presence of proteins.</w:t>
            </w:r>
          </w:p>
        </w:tc>
        <w:tc>
          <w:tcPr>
            <w:tcW w:w="2520" w:type="dxa"/>
          </w:tcPr>
          <w:p w14:paraId="28F022BF" w14:textId="4CCEC6C0" w:rsidR="00E76D88" w:rsidRPr="00B52C9E" w:rsidRDefault="00E76D88" w:rsidP="00E76D88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76D88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76D88" w:rsidRPr="00B52C9E" w:rsidRDefault="00E76D88" w:rsidP="00E76D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76D88" w:rsidRPr="00B52C9E" w:rsidRDefault="00E76D88" w:rsidP="00E76D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2253C77A" w14:textId="77777777" w:rsidR="00E76D88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Lipids and DNA</w:t>
            </w:r>
          </w:p>
          <w:p w14:paraId="03184B39" w14:textId="77777777" w:rsidR="00E76D88" w:rsidRPr="00323293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List the chemical elements that make up lipids and proteins</w:t>
            </w:r>
          </w:p>
          <w:p w14:paraId="40A20598" w14:textId="560A6A26" w:rsidR="00E76D88" w:rsidRPr="00B52C9E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Lab- </w:t>
            </w: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Emulsion test</w:t>
            </w: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and </w:t>
            </w: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 the topics</w:t>
            </w:r>
          </w:p>
        </w:tc>
        <w:tc>
          <w:tcPr>
            <w:tcW w:w="2520" w:type="dxa"/>
          </w:tcPr>
          <w:p w14:paraId="2C1C0CB2" w14:textId="39D5DB30" w:rsidR="00E76D88" w:rsidRPr="00B52C9E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E76D88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76D88" w:rsidRPr="00B52C9E" w:rsidRDefault="00E76D88" w:rsidP="00E76D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E76D88" w:rsidRPr="009D008F" w:rsidRDefault="00E76D88" w:rsidP="00E76D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76D88" w:rsidRPr="00B52C9E" w:rsidRDefault="00E76D88" w:rsidP="00E76D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8972698" w14:textId="77777777" w:rsidR="00E76D88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Revision on the topics </w:t>
            </w:r>
          </w:p>
          <w:p w14:paraId="09B0908E" w14:textId="77777777" w:rsidR="00E76D88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Lab – </w:t>
            </w:r>
            <w:r w:rsidRPr="00323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Parts of flower</w:t>
            </w:r>
            <w:r w:rsidRPr="003232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55A64A50" w14:textId="77777777" w:rsidR="00E76D88" w:rsidRPr="00323293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 investigate the parts of the flower </w:t>
            </w:r>
          </w:p>
          <w:p w14:paraId="677DB7C7" w14:textId="77777777" w:rsidR="00E76D88" w:rsidRPr="00323293" w:rsidRDefault="00E76D88" w:rsidP="00E76D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PTS: </w:t>
            </w: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that scientific methods and theories develop as earlier </w:t>
            </w:r>
          </w:p>
          <w:p w14:paraId="5D002987" w14:textId="77777777" w:rsidR="00E76D88" w:rsidRPr="00323293" w:rsidRDefault="00E76D88" w:rsidP="00E76D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explanations are modified to take account of new evidence and ideas, </w:t>
            </w:r>
          </w:p>
          <w:p w14:paraId="6A4610E2" w14:textId="77777777" w:rsidR="00E76D88" w:rsidRPr="00323293" w:rsidRDefault="00E76D88" w:rsidP="00E76D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together with the importance of publishing results and peer review.</w:t>
            </w:r>
          </w:p>
          <w:p w14:paraId="0A20AF1A" w14:textId="77777777" w:rsidR="00E76D88" w:rsidRPr="00B52C9E" w:rsidRDefault="00E76D88" w:rsidP="00E76D8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E76D88" w:rsidRPr="00CD278C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E76D88" w:rsidRPr="00CD278C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76D88" w:rsidRPr="00BA0169" w:rsidRDefault="00E76D88" w:rsidP="00E76D8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76D88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76D88" w:rsidRPr="00D72866" w:rsidRDefault="00E76D88" w:rsidP="00E76D8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E76D88" w:rsidRDefault="00E76D88" w:rsidP="00E76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E76D88" w:rsidRPr="00CD278C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76D88" w:rsidRPr="00B52C9E" w:rsidRDefault="00E76D88" w:rsidP="00E76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76D88" w:rsidRPr="00B52C9E" w:rsidRDefault="00E76D88" w:rsidP="00E76D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14B35073" w14:textId="77777777" w:rsidR="00472B48" w:rsidRDefault="00472B48" w:rsidP="00472B4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23293">
              <w:rPr>
                <w:rFonts w:asciiTheme="minorHAnsi" w:hAnsiTheme="minorHAnsi" w:cstheme="minorHAnsi"/>
                <w:sz w:val="22"/>
                <w:szCs w:val="22"/>
              </w:rPr>
              <w:t>Enzymes ,</w:t>
            </w:r>
            <w:proofErr w:type="gramEnd"/>
          </w:p>
          <w:p w14:paraId="3E220865" w14:textId="77777777" w:rsidR="00472B48" w:rsidRDefault="00472B48" w:rsidP="00472B4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745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  <w:r w:rsidRPr="0016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EEB">
              <w:rPr>
                <w:rFonts w:asciiTheme="minorHAnsi" w:hAnsiTheme="minorHAnsi" w:cstheme="minorHAnsi"/>
                <w:sz w:val="22"/>
                <w:szCs w:val="22"/>
              </w:rPr>
              <w:t>Describe a catalyst as a substance that increases the rate of a chemical reaction and is not changed by the reactio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  <w:p w14:paraId="3AA8E282" w14:textId="77777777" w:rsidR="00472B48" w:rsidRPr="00323293" w:rsidRDefault="00472B48" w:rsidP="00472B4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451E">
              <w:rPr>
                <w:rFonts w:asciiTheme="minorHAnsi" w:hAnsiTheme="minorHAnsi" w:cstheme="minorHAnsi"/>
                <w:sz w:val="22"/>
                <w:szCs w:val="22"/>
              </w:rPr>
              <w:t xml:space="preserve">Explain enzyme action with reference </w:t>
            </w:r>
            <w:proofErr w:type="gramStart"/>
            <w:r w:rsidRPr="0067451E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  <w:proofErr w:type="gramEnd"/>
            <w:r w:rsidRPr="0067451E">
              <w:rPr>
                <w:rFonts w:asciiTheme="minorHAnsi" w:hAnsiTheme="minorHAnsi" w:cstheme="minorHAnsi"/>
                <w:sz w:val="22"/>
                <w:szCs w:val="22"/>
              </w:rPr>
              <w:t xml:space="preserve"> active site, enzyme-substrate complex, substrate and produc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  <w:p w14:paraId="7C066A91" w14:textId="77777777" w:rsidR="00472B48" w:rsidRPr="00323293" w:rsidRDefault="00472B48" w:rsidP="00472B4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3389C" w14:textId="77777777" w:rsidR="00472B48" w:rsidRPr="00323293" w:rsidRDefault="00472B48" w:rsidP="00472B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PTS: </w:t>
            </w: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process of anaerobic respiration in humans and micro-organisms, </w:t>
            </w:r>
          </w:p>
          <w:p w14:paraId="09A1F8D3" w14:textId="510F7CEE" w:rsidR="00E76D88" w:rsidRPr="00B52C9E" w:rsidRDefault="00472B48" w:rsidP="00472B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3293">
              <w:rPr>
                <w:rFonts w:asciiTheme="minorHAnsi" w:hAnsiTheme="minorHAnsi" w:cstheme="minorHAnsi"/>
                <w:bCs/>
                <w:sz w:val="22"/>
                <w:szCs w:val="22"/>
              </w:rPr>
              <w:t>including fermentation, and a word summary for anaerobic respiration.</w:t>
            </w:r>
          </w:p>
        </w:tc>
        <w:tc>
          <w:tcPr>
            <w:tcW w:w="2520" w:type="dxa"/>
          </w:tcPr>
          <w:p w14:paraId="680CA175" w14:textId="571443D6" w:rsidR="00E76D88" w:rsidRDefault="00E76D88" w:rsidP="00E76D8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E76D88" w:rsidRPr="00B66E6C" w:rsidRDefault="00E76D88" w:rsidP="00E76D8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C226A0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C226A0" w:rsidRPr="00D72866" w:rsidRDefault="00C226A0" w:rsidP="00C226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C226A0" w:rsidRDefault="00C226A0" w:rsidP="00C226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A3E809C" w14:textId="77777777" w:rsidR="00C226A0" w:rsidRDefault="00C226A0" w:rsidP="00C226A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6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Factors affecting Enzymes </w:t>
            </w:r>
            <w:proofErr w:type="gramStart"/>
            <w:r w:rsidRPr="00EB467C">
              <w:rPr>
                <w:rFonts w:asciiTheme="minorHAnsi" w:hAnsiTheme="minorHAnsi" w:cstheme="minorHAnsi"/>
                <w:bCs/>
                <w:sz w:val="22"/>
                <w:szCs w:val="22"/>
              </w:rPr>
              <w:t>activity ,</w:t>
            </w:r>
            <w:proofErr w:type="gramEnd"/>
          </w:p>
          <w:p w14:paraId="7AD8D0FC" w14:textId="77777777" w:rsidR="00C226A0" w:rsidRDefault="00C226A0" w:rsidP="00C226A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7C47">
              <w:rPr>
                <w:rFonts w:asciiTheme="minorHAnsi" w:hAnsiTheme="minorHAnsi" w:cstheme="minorHAnsi"/>
                <w:b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307C47">
              <w:rPr>
                <w:rFonts w:asciiTheme="minorHAnsi" w:hAnsiTheme="minorHAnsi" w:cstheme="minorHAnsi"/>
                <w:bCs/>
                <w:sz w:val="22"/>
                <w:szCs w:val="22"/>
              </w:rPr>
              <w:t>Investigate and describe the effect of changes in temperature and pH on enzyme activity with reference to optimum temperature and denaturation</w:t>
            </w:r>
          </w:p>
          <w:p w14:paraId="6AD65E76" w14:textId="77777777" w:rsidR="00C226A0" w:rsidRDefault="00C226A0" w:rsidP="00C226A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2CC14" w14:textId="77777777" w:rsidR="00C226A0" w:rsidRPr="00FE563C" w:rsidRDefault="00C226A0" w:rsidP="00C226A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Lab: </w:t>
            </w:r>
            <w:r w:rsidRPr="00FE563C">
              <w:rPr>
                <w:rFonts w:asciiTheme="minorHAnsi" w:hAnsiTheme="minorHAnsi" w:cstheme="minorHAnsi"/>
                <w:sz w:val="20"/>
                <w:szCs w:val="20"/>
              </w:rPr>
              <w:t>Effect of Temperature on respiration</w:t>
            </w:r>
          </w:p>
          <w:p w14:paraId="6137D2A2" w14:textId="498BF4CE" w:rsidR="00C226A0" w:rsidRPr="00B52C9E" w:rsidRDefault="00C226A0" w:rsidP="00C226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 the topics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1DCBBD6D" w14:textId="649CEAD9" w:rsidR="00C226A0" w:rsidRPr="00CD278C" w:rsidRDefault="00C226A0" w:rsidP="00C226A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C226A0" w:rsidRDefault="00C226A0" w:rsidP="00C226A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C226A0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C226A0" w:rsidRPr="00B52C9E" w:rsidRDefault="00C226A0" w:rsidP="00C226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C226A0" w:rsidRPr="00B52C9E" w:rsidRDefault="00C226A0" w:rsidP="00C226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193B5F00" w14:textId="77777777" w:rsidR="00C226A0" w:rsidRDefault="00C226A0" w:rsidP="00C226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B46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Diet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</w:p>
          <w:p w14:paraId="15B84683" w14:textId="77777777" w:rsidR="00C226A0" w:rsidRDefault="00C226A0" w:rsidP="00C226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Objective: </w:t>
            </w:r>
            <w:r w:rsidRPr="001F3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Describe what is meant by a balanced diet 2 State the principal dietary sources and describe the importance of: (a) carbohydrates (b) fats and oils (c) proteins (d) </w:t>
            </w:r>
            <w:r w:rsidRPr="001F342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vitamins, limited to C and D (e) mineral ions, limited to calcium and iron (f) </w:t>
            </w:r>
            <w:proofErr w:type="spellStart"/>
            <w:r w:rsidRPr="001F3420">
              <w:rPr>
                <w:rFonts w:asciiTheme="minorHAnsi" w:hAnsiTheme="minorHAnsi" w:cstheme="minorHAnsi"/>
                <w:b/>
                <w:sz w:val="22"/>
                <w:szCs w:val="22"/>
              </w:rPr>
              <w:t>fibre</w:t>
            </w:r>
            <w:proofErr w:type="spellEnd"/>
            <w:r w:rsidRPr="001F3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(roughage) (g) water 3 State the causes of scurvy and rickets</w:t>
            </w:r>
          </w:p>
          <w:p w14:paraId="7BDCCF4D" w14:textId="5975DC51" w:rsidR="00C226A0" w:rsidRPr="00B52C9E" w:rsidRDefault="00C226A0" w:rsidP="00C226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Lab- </w:t>
            </w:r>
            <w:r w:rsidRPr="00EB467C">
              <w:rPr>
                <w:rFonts w:asciiTheme="minorHAnsi" w:hAnsiTheme="minorHAnsi" w:cstheme="minorHAnsi"/>
                <w:bCs/>
                <w:sz w:val="22"/>
                <w:szCs w:val="22"/>
              </w:rPr>
              <w:t>Food test 1</w:t>
            </w:r>
          </w:p>
        </w:tc>
        <w:tc>
          <w:tcPr>
            <w:tcW w:w="2520" w:type="dxa"/>
          </w:tcPr>
          <w:p w14:paraId="18017A31" w14:textId="77777777" w:rsidR="00C226A0" w:rsidRDefault="00C226A0" w:rsidP="00C226A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lastRenderedPageBreak/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C226A0" w:rsidRPr="00855CC0" w:rsidRDefault="00C226A0" w:rsidP="00C226A0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C226A0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C226A0" w:rsidRPr="00B52C9E" w:rsidRDefault="00C226A0" w:rsidP="00C226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C226A0" w:rsidRPr="00B52C9E" w:rsidRDefault="00C226A0" w:rsidP="00C226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991E944" w14:textId="77777777" w:rsidR="00C226A0" w:rsidRPr="000010ED" w:rsidRDefault="00C226A0" w:rsidP="00C22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10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Digestive system </w:t>
            </w:r>
          </w:p>
          <w:p w14:paraId="0DAEA761" w14:textId="77777777" w:rsidR="00C226A0" w:rsidRDefault="00C226A0" w:rsidP="00C226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345C">
              <w:rPr>
                <w:rFonts w:asciiTheme="minorHAnsi" w:hAnsiTheme="minorHAnsi" w:cstheme="minorHAnsi"/>
                <w:b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9534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Identify in diagrams and images the main organs of the digestive system, limited to: (a) alimentary canal: mouth, </w:t>
            </w:r>
            <w:proofErr w:type="spellStart"/>
            <w:r w:rsidRPr="0095345C">
              <w:rPr>
                <w:rFonts w:asciiTheme="minorHAnsi" w:hAnsiTheme="minorHAnsi" w:cstheme="minorHAnsi"/>
                <w:bCs/>
                <w:sz w:val="22"/>
                <w:szCs w:val="22"/>
              </w:rPr>
              <w:t>oesophagus</w:t>
            </w:r>
            <w:proofErr w:type="spellEnd"/>
            <w:r w:rsidRPr="0095345C">
              <w:rPr>
                <w:rFonts w:asciiTheme="minorHAnsi" w:hAnsiTheme="minorHAnsi" w:cstheme="minorHAnsi"/>
                <w:bCs/>
                <w:sz w:val="22"/>
                <w:szCs w:val="22"/>
              </w:rPr>
              <w:t>, stomach, small intestine (duodenum and ileum) and large intestine (colon, rectum, anus) (b) associated organs: salivary glands, pancreas, liver and gall bladder</w:t>
            </w:r>
          </w:p>
          <w:p w14:paraId="68E82989" w14:textId="69C17B34" w:rsidR="00C226A0" w:rsidRPr="00B52C9E" w:rsidRDefault="00C226A0" w:rsidP="00C226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C226A0" w:rsidRPr="0065626E" w:rsidRDefault="00C226A0" w:rsidP="00C226A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C226A0" w:rsidRPr="00CD278C" w:rsidRDefault="00C226A0" w:rsidP="00C226A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C226A0" w:rsidRDefault="00C226A0" w:rsidP="00C226A0"/>
        </w:tc>
      </w:tr>
      <w:tr w:rsidR="00C226A0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C226A0" w:rsidRPr="00B52C9E" w:rsidRDefault="00C226A0" w:rsidP="00C22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C226A0" w:rsidRPr="00B52C9E" w:rsidRDefault="00C226A0" w:rsidP="00C22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C226A0" w:rsidRPr="00B52C9E" w:rsidRDefault="00C226A0" w:rsidP="00C22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C226A0" w:rsidRPr="00D72866" w:rsidRDefault="00C226A0" w:rsidP="00C226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C226A0" w:rsidRPr="00B52C9E" w:rsidRDefault="00C226A0" w:rsidP="00C226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E3A03B8" w14:textId="77777777" w:rsidR="00F716F1" w:rsidRDefault="00F716F1" w:rsidP="00F716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Chemical Digestion:</w:t>
            </w:r>
          </w:p>
          <w:p w14:paraId="02AD6ABC" w14:textId="77777777" w:rsidR="00F716F1" w:rsidRDefault="00F716F1" w:rsidP="00F716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F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C5F6D">
              <w:rPr>
                <w:rFonts w:asciiTheme="minorHAnsi" w:hAnsiTheme="minorHAnsi" w:cstheme="minorHAnsi"/>
                <w:sz w:val="22"/>
                <w:szCs w:val="22"/>
              </w:rPr>
              <w:t xml:space="preserve"> Describe</w:t>
            </w:r>
            <w:proofErr w:type="gramEnd"/>
            <w:r w:rsidRPr="001C5F6D">
              <w:rPr>
                <w:rFonts w:asciiTheme="minorHAnsi" w:hAnsiTheme="minorHAnsi" w:cstheme="minorHAnsi"/>
                <w:sz w:val="22"/>
                <w:szCs w:val="22"/>
              </w:rPr>
              <w:t xml:space="preserve"> chemical digestion as the breakdown of large insoluble molecules into small soluble molecules 2 State the role of chemical digestion in producing small soluble molecules that can be absorbed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E46D50" w14:textId="77777777" w:rsidR="00F716F1" w:rsidRDefault="00F716F1" w:rsidP="00F716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378DD" w14:textId="434266B0" w:rsidR="00C226A0" w:rsidRPr="00B52C9E" w:rsidRDefault="00F716F1" w:rsidP="00F716F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topics</w:t>
            </w:r>
          </w:p>
        </w:tc>
        <w:tc>
          <w:tcPr>
            <w:tcW w:w="2520" w:type="dxa"/>
          </w:tcPr>
          <w:p w14:paraId="654076DF" w14:textId="718B00B3" w:rsidR="00C226A0" w:rsidRPr="009C734C" w:rsidRDefault="00C226A0" w:rsidP="00C226A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226A0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C226A0" w:rsidRPr="00B52C9E" w:rsidRDefault="00C226A0" w:rsidP="00C22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C226A0" w:rsidRPr="00CD278C" w:rsidRDefault="00C226A0" w:rsidP="00C226A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CE51E9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CE51E9" w:rsidRPr="00B52C9E" w:rsidRDefault="00CE51E9" w:rsidP="00CE51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CE51E9" w:rsidRPr="00B52C9E" w:rsidRDefault="00CE51E9" w:rsidP="00CE51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400D7E4B" w14:textId="77777777" w:rsidR="00CE51E9" w:rsidRDefault="00CE51E9" w:rsidP="00CE5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Absorption and assimilation,</w:t>
            </w:r>
          </w:p>
          <w:p w14:paraId="60B2D4EB" w14:textId="77777777" w:rsidR="00CE51E9" w:rsidRDefault="00CE51E9" w:rsidP="00CE5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7261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Objective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1D4">
              <w:rPr>
                <w:rFonts w:asciiTheme="minorHAnsi" w:hAnsiTheme="minorHAnsi" w:cstheme="minorHAnsi"/>
                <w:bCs/>
                <w:sz w:val="22"/>
                <w:szCs w:val="22"/>
              </w:rPr>
              <w:t>Explain the significance of villi and microvilli in increasing the internal surface area of the small intestine 4 Describe the structure of a villus 5 Describe the roles of capillaries and lacteals in vill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</w:p>
          <w:p w14:paraId="1E4B558C" w14:textId="211B85D5" w:rsidR="00CE51E9" w:rsidRPr="00B52C9E" w:rsidRDefault="00CE51E9" w:rsidP="00CE51E9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CE51E9" w:rsidRPr="0065626E" w:rsidRDefault="00CE51E9" w:rsidP="00CE51E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CE51E9" w:rsidRPr="00CD278C" w:rsidRDefault="00CE51E9" w:rsidP="00CE51E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CE51E9" w:rsidRPr="00C743E6" w:rsidRDefault="00CE51E9" w:rsidP="00CE51E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90C0B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3A4B947D" w14:textId="77777777" w:rsidR="00F90C0B" w:rsidRPr="000010ED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10ED">
              <w:rPr>
                <w:rFonts w:asciiTheme="minorHAnsi" w:hAnsiTheme="minorHAnsi" w:cstheme="minorHAnsi"/>
                <w:b/>
                <w:sz w:val="22"/>
                <w:szCs w:val="22"/>
              </w:rPr>
              <w:t>Physical digestion:</w:t>
            </w:r>
          </w:p>
          <w:p w14:paraId="008C4612" w14:textId="77777777" w:rsidR="00F90C0B" w:rsidRDefault="00F90C0B" w:rsidP="00F90C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51D0">
              <w:rPr>
                <w:rFonts w:asciiTheme="minorHAnsi" w:hAnsiTheme="minorHAnsi" w:cstheme="minorHAnsi"/>
                <w:b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E751D0">
              <w:rPr>
                <w:rFonts w:asciiTheme="minorHAnsi" w:hAnsiTheme="minorHAnsi" w:cstheme="minorHAnsi"/>
                <w:bCs/>
                <w:sz w:val="22"/>
                <w:szCs w:val="22"/>
              </w:rPr>
              <w:t>Describe physical digestion as the breakdown of food into smaller pieces without chemical change to the food molecules 2 State that physical digestion increases the surface area of food for the action of enzymes in chemical digestion 3 Identify in diagrams and images the types of human teeth: incisors, canines, premolars and molars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369D305" w14:textId="2068DF08" w:rsidR="00F90C0B" w:rsidRPr="00CE51E9" w:rsidRDefault="00F90C0B" w:rsidP="00F90C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4CC5">
              <w:rPr>
                <w:rFonts w:asciiTheme="minorHAnsi" w:hAnsiTheme="minorHAnsi" w:cstheme="minorHAnsi"/>
                <w:bCs/>
                <w:sz w:val="22"/>
                <w:szCs w:val="22"/>
              </w:rPr>
              <w:t>Outline the role of bile in emulsifying fats and oils to increase the surface area for chemical digestion</w:t>
            </w:r>
          </w:p>
        </w:tc>
        <w:tc>
          <w:tcPr>
            <w:tcW w:w="2520" w:type="dxa"/>
          </w:tcPr>
          <w:p w14:paraId="5C160E2F" w14:textId="2BF11EE9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F90C0B" w:rsidRDefault="00F90C0B" w:rsidP="00F90C0B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F90C0B" w:rsidRPr="00031180" w:rsidRDefault="00F90C0B" w:rsidP="00F90C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90C0B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F87B279" w14:textId="77777777" w:rsidR="00F90C0B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79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Nitrogen cycle </w:t>
            </w:r>
          </w:p>
          <w:p w14:paraId="13D6D4C7" w14:textId="77777777" w:rsidR="00F90C0B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Objective :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A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Describe the nitrogen cycle with reference to: • decomposition of plant and animal protein to ammonium </w:t>
            </w:r>
            <w:proofErr w:type="gramStart"/>
            <w:r w:rsidRPr="00EE6AED">
              <w:rPr>
                <w:rFonts w:asciiTheme="minorHAnsi" w:hAnsiTheme="minorHAnsi" w:cstheme="minorHAnsi"/>
                <w:bCs/>
                <w:sz w:val="22"/>
                <w:szCs w:val="22"/>
              </w:rPr>
              <w:t>ions • nitrification •</w:t>
            </w:r>
            <w:proofErr w:type="gramEnd"/>
            <w:r w:rsidRPr="00EE6A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nitrogen fixation by lightning and bacteria • absorption of nitrate ions by plants • production of amino acids and proteins • feeding and digestion of proteins • deamination • denitrification</w:t>
            </w:r>
          </w:p>
          <w:p w14:paraId="33ADA3D8" w14:textId="77777777" w:rsidR="00F90C0B" w:rsidRPr="00E06806" w:rsidRDefault="00F90C0B" w:rsidP="00F90C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57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Lab- </w:t>
            </w:r>
            <w:r w:rsidRPr="00323C0B">
              <w:rPr>
                <w:rFonts w:asciiTheme="minorHAnsi" w:hAnsiTheme="minorHAnsi" w:cstheme="minorHAnsi"/>
                <w:bCs/>
                <w:sz w:val="22"/>
                <w:szCs w:val="22"/>
              </w:rPr>
              <w:t>Classification of living organisms (Vertebrates and invertebrates).</w:t>
            </w:r>
          </w:p>
          <w:p w14:paraId="7C50D6CD" w14:textId="489FD9DD" w:rsidR="00F90C0B" w:rsidRPr="009A61F5" w:rsidRDefault="00F90C0B" w:rsidP="00F90C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E65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</w:rPr>
              <w:t>Strand: ESF3.1 Earth’s Natural Resources</w:t>
            </w:r>
          </w:p>
        </w:tc>
        <w:tc>
          <w:tcPr>
            <w:tcW w:w="2520" w:type="dxa"/>
          </w:tcPr>
          <w:p w14:paraId="782F1977" w14:textId="77777777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F90C0B" w:rsidRPr="00E50F92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F90C0B" w:rsidRPr="009B40B3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F90C0B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78473DBC" w:rsidR="00F90C0B" w:rsidRPr="00505FD5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</w:p>
        </w:tc>
      </w:tr>
      <w:tr w:rsidR="00F90C0B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B108B3E" w14:textId="77777777" w:rsidR="006B2E24" w:rsidRDefault="006B2E24" w:rsidP="006B2E2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Carbon cycle</w:t>
            </w:r>
          </w:p>
          <w:p w14:paraId="64BA9221" w14:textId="77777777" w:rsidR="006B2E24" w:rsidRDefault="006B2E24" w:rsidP="006B2E2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Objective :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114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Describe the carbon cycle, limited </w:t>
            </w:r>
            <w:proofErr w:type="gramStart"/>
            <w:r w:rsidRPr="008114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to:</w:t>
            </w:r>
            <w:proofErr w:type="gramEnd"/>
            <w:r w:rsidRPr="008114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photosynthesis, respiration, feeding, decomposition, formation of fossil fuels and combustion</w:t>
            </w:r>
          </w:p>
          <w:p w14:paraId="56994E68" w14:textId="6484D633" w:rsidR="00F90C0B" w:rsidRPr="00B52C9E" w:rsidRDefault="006B2E24" w:rsidP="006B2E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 :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Chromatography of leaves</w:t>
            </w:r>
          </w:p>
        </w:tc>
        <w:tc>
          <w:tcPr>
            <w:tcW w:w="2520" w:type="dxa"/>
          </w:tcPr>
          <w:p w14:paraId="5261E218" w14:textId="77777777" w:rsidR="00F90C0B" w:rsidRPr="00B52C9E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F90C0B" w:rsidRPr="001452E5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90C0B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5B05F0A" w14:textId="77777777" w:rsidR="00F90C0B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B479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Populations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</w:p>
          <w:p w14:paraId="17DDFDA7" w14:textId="2A3AB0A4" w:rsidR="00F90C0B" w:rsidRPr="00B52C9E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Objective: </w:t>
            </w:r>
            <w:r w:rsidRPr="00751F6A">
              <w:rPr>
                <w:rFonts w:asciiTheme="minorHAnsi" w:hAnsiTheme="minorHAnsi" w:cstheme="minorHAnsi"/>
                <w:bCs/>
                <w:sz w:val="22"/>
                <w:szCs w:val="22"/>
              </w:rPr>
              <w:t>Describe a population as a group of organisms of one species, living in the same area, at the same time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3A58BF9E" w14:textId="24538222" w:rsidR="00F90C0B" w:rsidRDefault="00F90C0B" w:rsidP="00F90C0B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F90C0B" w:rsidRPr="0024565D" w:rsidRDefault="00F90C0B" w:rsidP="00F90C0B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F90C0B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8974B49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F4C">
              <w:rPr>
                <w:rFonts w:asciiTheme="minorHAnsi" w:hAnsiTheme="minorHAnsi" w:cstheme="minorHAnsi"/>
                <w:sz w:val="22"/>
                <w:szCs w:val="22"/>
              </w:rPr>
              <w:t>Trophic levels &amp; Pyramid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F3002D7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Objective: </w:t>
            </w:r>
            <w:r w:rsidRPr="00FE42F9">
              <w:rPr>
                <w:rFonts w:asciiTheme="minorHAnsi" w:hAnsiTheme="minorHAnsi" w:cstheme="minorHAnsi"/>
                <w:sz w:val="22"/>
                <w:szCs w:val="22"/>
              </w:rPr>
              <w:t>Draw, describe and interpret pyramids of numbers and pyramids of biomas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and energy </w:t>
            </w:r>
          </w:p>
          <w:p w14:paraId="7FE9CB57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Lab: Reaction time </w:t>
            </w:r>
          </w:p>
          <w:p w14:paraId="472AD59F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1E499" w14:textId="515208E8" w:rsidR="00F90C0B" w:rsidRPr="00B52C9E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topics</w:t>
            </w:r>
          </w:p>
        </w:tc>
        <w:tc>
          <w:tcPr>
            <w:tcW w:w="2520" w:type="dxa"/>
          </w:tcPr>
          <w:p w14:paraId="575B91C1" w14:textId="77777777" w:rsidR="00F90C0B" w:rsidRPr="00B52C9E" w:rsidRDefault="00F90C0B" w:rsidP="00F90C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F90C0B" w:rsidRPr="00CC21CC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0C0B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F90C0B" w:rsidRPr="00B52C9E" w:rsidRDefault="00F90C0B" w:rsidP="00F90C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1108DF1C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165">
              <w:rPr>
                <w:rFonts w:asciiTheme="minorHAnsi" w:hAnsiTheme="minorHAnsi" w:cstheme="minorHAnsi"/>
                <w:sz w:val="22"/>
                <w:szCs w:val="22"/>
              </w:rPr>
              <w:t>Photosynthesis &amp; Leaf Structure</w:t>
            </w:r>
          </w:p>
          <w:p w14:paraId="1C63F5FD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Lab: Stomatal movement and Iodine test for starch in leaves </w:t>
            </w:r>
          </w:p>
          <w:p w14:paraId="41E0A2F5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65BF" w14:textId="77777777" w:rsidR="00F90C0B" w:rsidRPr="00323C0B" w:rsidRDefault="00F90C0B" w:rsidP="00F90C0B">
            <w:pPr>
              <w:rPr>
                <w:rFonts w:asciiTheme="minorHAnsi" w:hAnsiTheme="minorHAnsi" w:cstheme="minorHAnsi"/>
                <w:bCs/>
              </w:rPr>
            </w:pPr>
            <w:r w:rsidRPr="005E55B6">
              <w:rPr>
                <w:rFonts w:asciiTheme="minorHAnsi" w:hAnsiTheme="minorHAnsi" w:cstheme="minorHAnsi"/>
                <w:b/>
              </w:rPr>
              <w:t xml:space="preserve">PTS: </w:t>
            </w:r>
            <w:r w:rsidRPr="00323C0B">
              <w:rPr>
                <w:rFonts w:asciiTheme="minorHAnsi" w:hAnsiTheme="minorHAnsi" w:cstheme="minorHAnsi"/>
                <w:bCs/>
              </w:rPr>
              <w:t xml:space="preserve">The reactants in, and products of, photosynthesis, and a word summary for </w:t>
            </w:r>
          </w:p>
          <w:p w14:paraId="45C43AEF" w14:textId="77777777" w:rsidR="00F90C0B" w:rsidRDefault="00F90C0B" w:rsidP="00F90C0B">
            <w:pPr>
              <w:rPr>
                <w:rFonts w:asciiTheme="minorHAnsi" w:hAnsiTheme="minorHAnsi" w:cstheme="minorHAnsi"/>
                <w:bCs/>
              </w:rPr>
            </w:pPr>
            <w:r w:rsidRPr="00323C0B">
              <w:rPr>
                <w:rFonts w:asciiTheme="minorHAnsi" w:hAnsiTheme="minorHAnsi" w:cstheme="minorHAnsi"/>
                <w:bCs/>
              </w:rPr>
              <w:t>Photosynthesis.</w:t>
            </w:r>
          </w:p>
          <w:p w14:paraId="1415C7E8" w14:textId="77777777" w:rsidR="00F90C0B" w:rsidRDefault="00F90C0B" w:rsidP="00F90C0B">
            <w:pPr>
              <w:rPr>
                <w:rFonts w:asciiTheme="minorHAnsi" w:hAnsiTheme="minorHAnsi" w:cstheme="minorHAnsi"/>
                <w:bCs/>
              </w:rPr>
            </w:pPr>
          </w:p>
          <w:p w14:paraId="78841E2F" w14:textId="22A2C408" w:rsidR="00F90C0B" w:rsidRPr="00B52C9E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Reinforcement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topics</w:t>
            </w:r>
          </w:p>
        </w:tc>
        <w:tc>
          <w:tcPr>
            <w:tcW w:w="2520" w:type="dxa"/>
          </w:tcPr>
          <w:p w14:paraId="33768225" w14:textId="38D277EB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90C0B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59473BF3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C98">
              <w:rPr>
                <w:rFonts w:asciiTheme="minorHAnsi" w:hAnsiTheme="minorHAnsi" w:cstheme="minorHAnsi"/>
                <w:sz w:val="22"/>
                <w:szCs w:val="22"/>
              </w:rPr>
              <w:t>Factors affecting Photosynthesis</w:t>
            </w:r>
          </w:p>
          <w:p w14:paraId="1CD3B956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Objective: </w:t>
            </w:r>
            <w:r w:rsidRPr="00B9497D">
              <w:rPr>
                <w:rFonts w:asciiTheme="minorHAnsi" w:hAnsiTheme="minorHAnsi" w:cstheme="minorHAnsi"/>
                <w:sz w:val="22"/>
                <w:szCs w:val="22"/>
              </w:rPr>
              <w:t>Outline the subsequent use and storage of the carbohydrates made in photosynthesis</w:t>
            </w:r>
          </w:p>
          <w:p w14:paraId="0179ECD7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07B4">
              <w:rPr>
                <w:rFonts w:asciiTheme="minorHAnsi" w:hAnsiTheme="minorHAnsi" w:cstheme="minorHAnsi"/>
                <w:sz w:val="22"/>
                <w:szCs w:val="22"/>
              </w:rPr>
              <w:t>State that most leaves have a large surface area and are thin, and explain how these features are adaptations for photosynthesis 2 Identify in diagrams and images the following structures in the leaf of a dicotyledonous plant:</w:t>
            </w:r>
          </w:p>
          <w:p w14:paraId="3D7FAA5B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64D39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D7C44" w14:textId="77777777" w:rsidR="00F90C0B" w:rsidRPr="006332B2" w:rsidRDefault="00F90C0B" w:rsidP="00F90C0B">
            <w:pPr>
              <w:rPr>
                <w:rFonts w:asciiTheme="minorHAnsi" w:hAnsiTheme="minorHAnsi" w:cstheme="minorHAnsi"/>
              </w:rPr>
            </w:pPr>
            <w:r w:rsidRPr="00CA5B9A">
              <w:rPr>
                <w:rFonts w:asciiTheme="minorHAnsi" w:hAnsiTheme="minorHAnsi" w:cstheme="minorHAnsi"/>
                <w:b/>
                <w:bCs/>
              </w:rPr>
              <w:t xml:space="preserve">PTS: </w:t>
            </w:r>
            <w:r w:rsidRPr="006332B2">
              <w:rPr>
                <w:rFonts w:asciiTheme="minorHAnsi" w:hAnsiTheme="minorHAnsi" w:cstheme="minorHAnsi"/>
              </w:rPr>
              <w:t xml:space="preserve">The interdependence of organisms in an ecosystem, including food webs and </w:t>
            </w:r>
          </w:p>
          <w:p w14:paraId="37452082" w14:textId="77777777" w:rsidR="00F90C0B" w:rsidRDefault="00F90C0B" w:rsidP="00F90C0B">
            <w:pPr>
              <w:rPr>
                <w:rFonts w:asciiTheme="minorHAnsi" w:hAnsiTheme="minorHAnsi" w:cstheme="minorHAnsi"/>
              </w:rPr>
            </w:pPr>
            <w:r w:rsidRPr="006332B2">
              <w:rPr>
                <w:rFonts w:asciiTheme="minorHAnsi" w:hAnsiTheme="minorHAnsi" w:cstheme="minorHAnsi"/>
              </w:rPr>
              <w:t>insect pollinated crops.</w:t>
            </w:r>
          </w:p>
          <w:p w14:paraId="71FCF2F7" w14:textId="77777777" w:rsidR="00F90C0B" w:rsidRDefault="00F90C0B" w:rsidP="00F90C0B">
            <w:pPr>
              <w:rPr>
                <w:rFonts w:asciiTheme="minorHAnsi" w:hAnsiTheme="minorHAnsi" w:cstheme="minorHAnsi"/>
              </w:rPr>
            </w:pPr>
          </w:p>
          <w:p w14:paraId="3A852188" w14:textId="1001E279" w:rsidR="00F90C0B" w:rsidRPr="00B52C9E" w:rsidRDefault="00F90C0B" w:rsidP="00F90C0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D1C7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green"/>
              </w:rPr>
              <w:t>Strand: ESF1.1 Ecosystems and Biodiversity</w:t>
            </w:r>
          </w:p>
        </w:tc>
        <w:tc>
          <w:tcPr>
            <w:tcW w:w="2520" w:type="dxa"/>
          </w:tcPr>
          <w:p w14:paraId="5079F003" w14:textId="3FE66BA0" w:rsidR="00F90C0B" w:rsidRPr="0018729A" w:rsidRDefault="00F90C0B" w:rsidP="00F90C0B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F90C0B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60184E01" w:rsidR="00F90C0B" w:rsidRPr="00DF5BB1" w:rsidRDefault="00F90C0B" w:rsidP="00F90C0B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F90C0B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EDFF30C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36FF">
              <w:rPr>
                <w:rFonts w:asciiTheme="minorHAnsi" w:hAnsiTheme="minorHAnsi" w:cstheme="minorHAnsi"/>
                <w:sz w:val="22"/>
                <w:szCs w:val="22"/>
              </w:rPr>
              <w:t>Energy Flow, Food Chains &amp; Food Webs</w:t>
            </w:r>
          </w:p>
          <w:p w14:paraId="207BF897" w14:textId="77777777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7E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B7E35">
              <w:rPr>
                <w:rFonts w:asciiTheme="minorHAnsi" w:hAnsiTheme="minorHAnsi" w:cstheme="minorHAnsi"/>
                <w:sz w:val="22"/>
                <w:szCs w:val="22"/>
              </w:rPr>
              <w:t>Describe the flow of energy through living organisms, including light energy from the Sun and chemical energy in organisms, and its eventual transfer to the environment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7EC07C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F90C0B" w:rsidRPr="00DF5BB1" w:rsidRDefault="00F90C0B" w:rsidP="00F90C0B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F90C0B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00BC2CDC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Revision </w:t>
            </w:r>
            <w:r w:rsidR="0067329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 End of term exams </w:t>
            </w:r>
          </w:p>
        </w:tc>
        <w:tc>
          <w:tcPr>
            <w:tcW w:w="2520" w:type="dxa"/>
          </w:tcPr>
          <w:p w14:paraId="43C92E33" w14:textId="77777777" w:rsidR="00F90C0B" w:rsidRPr="009B2DCA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F90C0B" w:rsidRPr="001452E5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90C0B" w:rsidRPr="00FB57B7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0C0B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F90C0B" w:rsidRDefault="00F90C0B" w:rsidP="00F90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Progress Tests (Years 2-10)</w:t>
            </w:r>
          </w:p>
          <w:p w14:paraId="71E9F75D" w14:textId="77777777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5610424" w14:textId="4376A46C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D278C">
              <w:rPr>
                <w:color w:val="00B050"/>
              </w:rPr>
              <w:t>End of Year Exams</w:t>
            </w:r>
          </w:p>
        </w:tc>
        <w:tc>
          <w:tcPr>
            <w:tcW w:w="2520" w:type="dxa"/>
          </w:tcPr>
          <w:p w14:paraId="64EB3D7E" w14:textId="40B646D7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F90C0B" w:rsidRPr="004E20B6" w:rsidRDefault="00F90C0B" w:rsidP="00F90C0B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0C0B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398E991A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D278C">
              <w:rPr>
                <w:color w:val="00B050"/>
              </w:rPr>
              <w:t>End of Year Exams</w:t>
            </w:r>
          </w:p>
        </w:tc>
        <w:tc>
          <w:tcPr>
            <w:tcW w:w="2520" w:type="dxa"/>
          </w:tcPr>
          <w:p w14:paraId="2031EB4D" w14:textId="07AF9FA5" w:rsidR="00F90C0B" w:rsidRPr="00CD278C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F90C0B" w:rsidRPr="00B52C9E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90C0B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2E945A6E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D278C">
              <w:rPr>
                <w:color w:val="00B050"/>
              </w:rPr>
              <w:t>End of Year Exams</w:t>
            </w:r>
          </w:p>
        </w:tc>
        <w:tc>
          <w:tcPr>
            <w:tcW w:w="2520" w:type="dxa"/>
          </w:tcPr>
          <w:p w14:paraId="706CD817" w14:textId="56C1807C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F90C0B" w:rsidRPr="009B2DCA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F90C0B" w:rsidRPr="00372C60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F90C0B" w:rsidRPr="00B52C9E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90C0B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0C5DFB97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D278C">
              <w:rPr>
                <w:color w:val="00B050"/>
              </w:rPr>
              <w:t>End of Year Exams</w:t>
            </w:r>
          </w:p>
        </w:tc>
        <w:tc>
          <w:tcPr>
            <w:tcW w:w="2520" w:type="dxa"/>
          </w:tcPr>
          <w:p w14:paraId="1C547631" w14:textId="4B2B28F3" w:rsidR="00F90C0B" w:rsidRPr="009B40B3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F90C0B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F90C0B" w:rsidRPr="00B52C9E" w:rsidRDefault="00F90C0B" w:rsidP="00F90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F90C0B" w:rsidRPr="00B52C9E" w:rsidRDefault="00F90C0B" w:rsidP="00F90C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6F2E0114" w:rsidR="00F90C0B" w:rsidRPr="00B52C9E" w:rsidRDefault="00F90C0B" w:rsidP="00F90C0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751F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Introduction to Year 10 syllabus </w:t>
            </w:r>
            <w:proofErr w:type="gramStart"/>
            <w:r w:rsidRPr="00751F6A">
              <w:rPr>
                <w:rFonts w:asciiTheme="minorHAnsi" w:hAnsiTheme="minorHAnsi" w:cstheme="minorHAnsi"/>
                <w:bCs/>
                <w:sz w:val="22"/>
                <w:szCs w:val="22"/>
              </w:rPr>
              <w:t>( revisiting</w:t>
            </w:r>
            <w:proofErr w:type="gramEnd"/>
            <w:r w:rsidRPr="00751F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year 9 topics)</w:t>
            </w:r>
          </w:p>
        </w:tc>
        <w:tc>
          <w:tcPr>
            <w:tcW w:w="2520" w:type="dxa"/>
          </w:tcPr>
          <w:p w14:paraId="7808213E" w14:textId="6E6224EE" w:rsidR="00F90C0B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F90C0B" w:rsidRPr="00CB769D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F90C0B" w:rsidRPr="001452E5" w:rsidRDefault="00F90C0B" w:rsidP="00F90C0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F90C0B" w:rsidRPr="00B52C9E" w:rsidRDefault="00F90C0B" w:rsidP="00F90C0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61A2" w14:textId="77777777" w:rsidR="00C637FB" w:rsidRDefault="00C637FB" w:rsidP="00381F65">
      <w:r>
        <w:separator/>
      </w:r>
    </w:p>
  </w:endnote>
  <w:endnote w:type="continuationSeparator" w:id="0">
    <w:p w14:paraId="7FEDF9A7" w14:textId="77777777" w:rsidR="00C637FB" w:rsidRDefault="00C637FB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E9CA" w14:textId="77777777" w:rsidR="00C637FB" w:rsidRDefault="00C637FB" w:rsidP="00381F65">
      <w:r>
        <w:separator/>
      </w:r>
    </w:p>
  </w:footnote>
  <w:footnote w:type="continuationSeparator" w:id="0">
    <w:p w14:paraId="57940AB0" w14:textId="77777777" w:rsidR="00C637FB" w:rsidRDefault="00C637FB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A1E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B6E46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397F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34E1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758"/>
    <w:rsid w:val="002C3F42"/>
    <w:rsid w:val="002C626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356BA"/>
    <w:rsid w:val="0034157B"/>
    <w:rsid w:val="00343F6D"/>
    <w:rsid w:val="00351986"/>
    <w:rsid w:val="00351B76"/>
    <w:rsid w:val="00352A83"/>
    <w:rsid w:val="00352EF0"/>
    <w:rsid w:val="0035434A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45C4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02C8"/>
    <w:rsid w:val="004151B3"/>
    <w:rsid w:val="00417B10"/>
    <w:rsid w:val="00417CFF"/>
    <w:rsid w:val="00422B43"/>
    <w:rsid w:val="00425878"/>
    <w:rsid w:val="00427ACF"/>
    <w:rsid w:val="004340C2"/>
    <w:rsid w:val="004372BD"/>
    <w:rsid w:val="00441F26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72B48"/>
    <w:rsid w:val="00482AA2"/>
    <w:rsid w:val="00483319"/>
    <w:rsid w:val="00483403"/>
    <w:rsid w:val="00493C0F"/>
    <w:rsid w:val="00495A76"/>
    <w:rsid w:val="00496B8F"/>
    <w:rsid w:val="004A1CAD"/>
    <w:rsid w:val="004A2631"/>
    <w:rsid w:val="004A3741"/>
    <w:rsid w:val="004A756D"/>
    <w:rsid w:val="004B7271"/>
    <w:rsid w:val="004B7EF0"/>
    <w:rsid w:val="004C015F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2420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0ED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1501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0E92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3595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553B"/>
    <w:rsid w:val="0065626E"/>
    <w:rsid w:val="00660EEF"/>
    <w:rsid w:val="006618DC"/>
    <w:rsid w:val="0066565D"/>
    <w:rsid w:val="00671C48"/>
    <w:rsid w:val="0067329C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2E24"/>
    <w:rsid w:val="006B3D5F"/>
    <w:rsid w:val="006B6089"/>
    <w:rsid w:val="006B63F2"/>
    <w:rsid w:val="006B6A09"/>
    <w:rsid w:val="006B6D99"/>
    <w:rsid w:val="006C0CF2"/>
    <w:rsid w:val="006C43EB"/>
    <w:rsid w:val="006C7375"/>
    <w:rsid w:val="006C7F90"/>
    <w:rsid w:val="006D089C"/>
    <w:rsid w:val="006D1747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06C1F"/>
    <w:rsid w:val="0071072F"/>
    <w:rsid w:val="007111E1"/>
    <w:rsid w:val="00711882"/>
    <w:rsid w:val="00711B5A"/>
    <w:rsid w:val="007141A0"/>
    <w:rsid w:val="007147DE"/>
    <w:rsid w:val="007173AF"/>
    <w:rsid w:val="007200D5"/>
    <w:rsid w:val="00722422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29A4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162"/>
    <w:rsid w:val="00796F4C"/>
    <w:rsid w:val="0079747C"/>
    <w:rsid w:val="007A00D1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04F6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0705"/>
    <w:rsid w:val="008160E0"/>
    <w:rsid w:val="00824563"/>
    <w:rsid w:val="00825F08"/>
    <w:rsid w:val="008266F1"/>
    <w:rsid w:val="00832FCC"/>
    <w:rsid w:val="0083398F"/>
    <w:rsid w:val="00834013"/>
    <w:rsid w:val="00837DE8"/>
    <w:rsid w:val="00842CFE"/>
    <w:rsid w:val="008440A5"/>
    <w:rsid w:val="008464BA"/>
    <w:rsid w:val="008464DF"/>
    <w:rsid w:val="0084694A"/>
    <w:rsid w:val="008529AE"/>
    <w:rsid w:val="008547C0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D6D20"/>
    <w:rsid w:val="008E0709"/>
    <w:rsid w:val="008E1B0B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9C4"/>
    <w:rsid w:val="00985F21"/>
    <w:rsid w:val="00996D4A"/>
    <w:rsid w:val="009A01DF"/>
    <w:rsid w:val="009A18B3"/>
    <w:rsid w:val="009A1D17"/>
    <w:rsid w:val="009A61F5"/>
    <w:rsid w:val="009A6A31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2D68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5541F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91F"/>
    <w:rsid w:val="00A80B04"/>
    <w:rsid w:val="00A82410"/>
    <w:rsid w:val="00A8384D"/>
    <w:rsid w:val="00A84597"/>
    <w:rsid w:val="00A854D6"/>
    <w:rsid w:val="00A859F8"/>
    <w:rsid w:val="00A92B40"/>
    <w:rsid w:val="00A92B4F"/>
    <w:rsid w:val="00A93095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2B57"/>
    <w:rsid w:val="00AE385F"/>
    <w:rsid w:val="00AE3F84"/>
    <w:rsid w:val="00AE47C1"/>
    <w:rsid w:val="00AF0E03"/>
    <w:rsid w:val="00AF21EB"/>
    <w:rsid w:val="00AF2D4B"/>
    <w:rsid w:val="00AF4B39"/>
    <w:rsid w:val="00AF5C9D"/>
    <w:rsid w:val="00AF695B"/>
    <w:rsid w:val="00B035BA"/>
    <w:rsid w:val="00B038FF"/>
    <w:rsid w:val="00B111D1"/>
    <w:rsid w:val="00B11F6D"/>
    <w:rsid w:val="00B16480"/>
    <w:rsid w:val="00B202E4"/>
    <w:rsid w:val="00B2044A"/>
    <w:rsid w:val="00B21AA4"/>
    <w:rsid w:val="00B245AA"/>
    <w:rsid w:val="00B26DE6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213"/>
    <w:rsid w:val="00B85675"/>
    <w:rsid w:val="00B87CDB"/>
    <w:rsid w:val="00B916DB"/>
    <w:rsid w:val="00B929A0"/>
    <w:rsid w:val="00B9453D"/>
    <w:rsid w:val="00B96A8F"/>
    <w:rsid w:val="00BA0169"/>
    <w:rsid w:val="00BA3823"/>
    <w:rsid w:val="00BB2201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26A0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637FB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1406"/>
    <w:rsid w:val="00CE20A7"/>
    <w:rsid w:val="00CE21C6"/>
    <w:rsid w:val="00CE51E9"/>
    <w:rsid w:val="00CE66AF"/>
    <w:rsid w:val="00CE7848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08D3"/>
    <w:rsid w:val="00D81A7C"/>
    <w:rsid w:val="00D82672"/>
    <w:rsid w:val="00D85C51"/>
    <w:rsid w:val="00D92A7F"/>
    <w:rsid w:val="00D93563"/>
    <w:rsid w:val="00D93EEB"/>
    <w:rsid w:val="00D943D3"/>
    <w:rsid w:val="00D946F5"/>
    <w:rsid w:val="00D962A2"/>
    <w:rsid w:val="00DA1B87"/>
    <w:rsid w:val="00DA3B0F"/>
    <w:rsid w:val="00DB0549"/>
    <w:rsid w:val="00DB38B4"/>
    <w:rsid w:val="00DB42DF"/>
    <w:rsid w:val="00DB4478"/>
    <w:rsid w:val="00DB4519"/>
    <w:rsid w:val="00DB6560"/>
    <w:rsid w:val="00DC0440"/>
    <w:rsid w:val="00DC59D0"/>
    <w:rsid w:val="00DC7437"/>
    <w:rsid w:val="00DD18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DF62AE"/>
    <w:rsid w:val="00E0144C"/>
    <w:rsid w:val="00E02E12"/>
    <w:rsid w:val="00E16E9F"/>
    <w:rsid w:val="00E26780"/>
    <w:rsid w:val="00E30A02"/>
    <w:rsid w:val="00E32B4D"/>
    <w:rsid w:val="00E33758"/>
    <w:rsid w:val="00E34755"/>
    <w:rsid w:val="00E34AF9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0017"/>
    <w:rsid w:val="00E73F38"/>
    <w:rsid w:val="00E76D8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B6051"/>
    <w:rsid w:val="00EC0278"/>
    <w:rsid w:val="00EC26EB"/>
    <w:rsid w:val="00EC5D88"/>
    <w:rsid w:val="00ED0546"/>
    <w:rsid w:val="00ED1074"/>
    <w:rsid w:val="00ED1D07"/>
    <w:rsid w:val="00ED6AA4"/>
    <w:rsid w:val="00EE1418"/>
    <w:rsid w:val="00EE2F34"/>
    <w:rsid w:val="00EE6F0D"/>
    <w:rsid w:val="00EF0E6C"/>
    <w:rsid w:val="00EF1A7A"/>
    <w:rsid w:val="00EF2D1E"/>
    <w:rsid w:val="00EF4051"/>
    <w:rsid w:val="00EF63C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45AE9"/>
    <w:rsid w:val="00F50572"/>
    <w:rsid w:val="00F50EA6"/>
    <w:rsid w:val="00F542CD"/>
    <w:rsid w:val="00F54360"/>
    <w:rsid w:val="00F561FE"/>
    <w:rsid w:val="00F569FB"/>
    <w:rsid w:val="00F60C74"/>
    <w:rsid w:val="00F611BD"/>
    <w:rsid w:val="00F61599"/>
    <w:rsid w:val="00F66326"/>
    <w:rsid w:val="00F674B8"/>
    <w:rsid w:val="00F716F1"/>
    <w:rsid w:val="00F71BD0"/>
    <w:rsid w:val="00F76FD6"/>
    <w:rsid w:val="00F84FB4"/>
    <w:rsid w:val="00F86716"/>
    <w:rsid w:val="00F90C0B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36DF97CF-6470-4A46-8040-26F634C7CC22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7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Florence Anthony</cp:lastModifiedBy>
  <cp:revision>75</cp:revision>
  <cp:lastPrinted>2019-04-10T20:17:00Z</cp:lastPrinted>
  <dcterms:created xsi:type="dcterms:W3CDTF">2026-04-22T17:41:00Z</dcterms:created>
  <dcterms:modified xsi:type="dcterms:W3CDTF">2026-06-08T09:04:00Z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